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F7" w:rsidRDefault="00E00CF7" w:rsidP="00E00CF7">
      <w:pPr>
        <w:jc w:val="center"/>
        <w:rPr>
          <w:rStyle w:val="Strong"/>
          <w:rFonts w:ascii="Droid Sans" w:hAnsi="Droid Sans"/>
          <w:color w:val="444444"/>
        </w:rPr>
      </w:pPr>
      <w:hyperlink r:id="rId5" w:history="1">
        <w:r>
          <w:rPr>
            <w:rFonts w:ascii="Droid Sans" w:hAnsi="Droid Sans"/>
            <w:b/>
            <w:bCs/>
            <w:color w:val="0000FF"/>
          </w:rPr>
          <w:fldChar w:fldCharType="begin"/>
        </w:r>
        <w:r>
          <w:rPr>
            <w:rFonts w:ascii="Droid Sans" w:hAnsi="Droid Sans"/>
            <w:b/>
            <w:bCs/>
            <w:color w:val="0000FF"/>
          </w:rPr>
          <w:instrText xml:space="preserve"> INCLUDEPICTURE "http://greensborobar.org/wp-content/uploads/2013/04/GBALogo2.png" \* MERGEFORMATINET </w:instrText>
        </w:r>
        <w:r>
          <w:rPr>
            <w:rFonts w:ascii="Droid Sans" w:hAnsi="Droid Sans"/>
            <w:b/>
            <w:bCs/>
            <w:color w:val="0000FF"/>
          </w:rPr>
          <w:fldChar w:fldCharType="separate"/>
        </w:r>
        <w:r>
          <w:rPr>
            <w:rFonts w:ascii="Droid Sans" w:hAnsi="Droid Sans"/>
            <w:b/>
            <w:bCs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alt="Greensboro Bar Association" style="width:197.25pt;height:69.75pt" o:button="t">
              <v:imagedata r:id="rId6" r:href="rId7"/>
            </v:shape>
          </w:pict>
        </w:r>
        <w:r>
          <w:rPr>
            <w:rFonts w:ascii="Droid Sans" w:hAnsi="Droid Sans"/>
            <w:b/>
            <w:bCs/>
            <w:color w:val="0000FF"/>
          </w:rPr>
          <w:fldChar w:fldCharType="end"/>
        </w:r>
      </w:hyperlink>
    </w:p>
    <w:p w:rsidR="00E00CF7" w:rsidRDefault="00E00CF7" w:rsidP="00E00CF7">
      <w:pPr>
        <w:jc w:val="center"/>
        <w:rPr>
          <w:rFonts w:cs="Arial"/>
          <w:b/>
          <w:bCs/>
          <w:sz w:val="28"/>
          <w:szCs w:val="28"/>
        </w:rPr>
      </w:pPr>
    </w:p>
    <w:p w:rsidR="00E00CF7" w:rsidRDefault="00E00CF7" w:rsidP="00E00CF7">
      <w:pPr>
        <w:tabs>
          <w:tab w:val="center" w:pos="5400"/>
          <w:tab w:val="left" w:pos="756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C</w:t>
      </w:r>
      <w:r w:rsidRPr="009D0119">
        <w:rPr>
          <w:rFonts w:cs="Arial"/>
          <w:b/>
          <w:bCs/>
          <w:sz w:val="28"/>
          <w:szCs w:val="28"/>
        </w:rPr>
        <w:t>ommittee Descriptions</w:t>
      </w:r>
    </w:p>
    <w:p w:rsidR="00E00CF7" w:rsidRPr="009D0119" w:rsidRDefault="00E00CF7" w:rsidP="00E00CF7">
      <w:pPr>
        <w:rPr>
          <w:rFonts w:cs="Arial"/>
          <w:b/>
          <w:bCs/>
          <w:sz w:val="28"/>
          <w:szCs w:val="28"/>
        </w:rPr>
      </w:pP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 xml:space="preserve">Awards &amp; Recognitions- </w:t>
      </w:r>
      <w:r w:rsidRPr="00B21F14">
        <w:rPr>
          <w:rFonts w:cs="Arial"/>
          <w:bCs/>
          <w:sz w:val="24"/>
        </w:rPr>
        <w:t>Researches and makes recommendations to the Executive Board for annual awards, award recipients, and member recognitions.</w:t>
      </w:r>
    </w:p>
    <w:p w:rsidR="00E00CF7" w:rsidRPr="008A4932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 xml:space="preserve">CLE- </w:t>
      </w:r>
      <w:r w:rsidRPr="00B21F14">
        <w:rPr>
          <w:rFonts w:cs="Arial"/>
          <w:bCs/>
          <w:sz w:val="24"/>
        </w:rPr>
        <w:t xml:space="preserve">Plans and presents the Association’s CLE programs for the coming year; expands and </w:t>
      </w:r>
      <w:r w:rsidRPr="008A4932">
        <w:rPr>
          <w:rFonts w:cs="Arial"/>
          <w:bCs/>
          <w:sz w:val="24"/>
        </w:rPr>
        <w:t>enhances the number of CLE offerings of GBA.</w:t>
      </w:r>
    </w:p>
    <w:p w:rsidR="00E00CF7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8A4932">
        <w:rPr>
          <w:rFonts w:cs="Arial"/>
          <w:b/>
          <w:bCs/>
          <w:sz w:val="24"/>
        </w:rPr>
        <w:t>Community Involvement-</w:t>
      </w:r>
      <w:r w:rsidRPr="008A4932">
        <w:rPr>
          <w:rFonts w:cs="Arial"/>
          <w:bCs/>
          <w:sz w:val="24"/>
        </w:rPr>
        <w:t>Recommends community service projects to the Association to adopt and runs such projects.</w:t>
      </w:r>
    </w:p>
    <w:p w:rsidR="00E00CF7" w:rsidRPr="008A4932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Directory-</w:t>
      </w:r>
      <w:r>
        <w:rPr>
          <w:rFonts w:cs="Arial"/>
          <w:bCs/>
          <w:sz w:val="24"/>
        </w:rPr>
        <w:t xml:space="preserve"> Promotes the benefits of member participation in the GBA online directory; collects headshots; updates profiles.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 xml:space="preserve">Elementary School Project- </w:t>
      </w:r>
      <w:r w:rsidRPr="00B21F14">
        <w:rPr>
          <w:rFonts w:cs="Arial"/>
          <w:bCs/>
          <w:sz w:val="24"/>
        </w:rPr>
        <w:t>Arranges a program or project for benefit of students to enhance interest in learning; coordinates</w:t>
      </w:r>
      <w:r>
        <w:rPr>
          <w:rFonts w:cs="Arial"/>
          <w:bCs/>
          <w:sz w:val="24"/>
        </w:rPr>
        <w:t xml:space="preserve"> the elementary book drive where </w:t>
      </w:r>
      <w:r w:rsidRPr="00B21F14">
        <w:rPr>
          <w:rFonts w:cs="Arial"/>
          <w:bCs/>
          <w:sz w:val="24"/>
        </w:rPr>
        <w:t>student</w:t>
      </w:r>
      <w:r>
        <w:rPr>
          <w:rFonts w:cs="Arial"/>
          <w:bCs/>
          <w:sz w:val="24"/>
        </w:rPr>
        <w:t>s are gifted</w:t>
      </w:r>
      <w:r w:rsidRPr="00B21F14">
        <w:rPr>
          <w:rFonts w:cs="Arial"/>
          <w:bCs/>
          <w:sz w:val="24"/>
        </w:rPr>
        <w:t xml:space="preserve"> a book</w:t>
      </w:r>
      <w:r>
        <w:rPr>
          <w:rFonts w:cs="Arial"/>
          <w:bCs/>
          <w:sz w:val="24"/>
        </w:rPr>
        <w:t xml:space="preserve"> at the holidays</w:t>
      </w:r>
      <w:r w:rsidRPr="00B21F14">
        <w:rPr>
          <w:rFonts w:cs="Arial"/>
          <w:bCs/>
          <w:sz w:val="24"/>
        </w:rPr>
        <w:t>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>Habitat for Humanity-</w:t>
      </w:r>
      <w:r w:rsidRPr="00B21F14">
        <w:rPr>
          <w:rFonts w:cs="Arial"/>
          <w:bCs/>
          <w:sz w:val="24"/>
        </w:rPr>
        <w:t xml:space="preserve"> Raises all funds and provides volunteers to build the GBA’s 9th house.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>History &amp; Archives-</w:t>
      </w:r>
      <w:r>
        <w:rPr>
          <w:rFonts w:cs="Arial"/>
          <w:b/>
          <w:bCs/>
          <w:sz w:val="24"/>
        </w:rPr>
        <w:t xml:space="preserve"> </w:t>
      </w:r>
      <w:r w:rsidRPr="00B21F14">
        <w:rPr>
          <w:rFonts w:cs="Arial"/>
          <w:bCs/>
          <w:sz w:val="24"/>
        </w:rPr>
        <w:t>Conducts interviews with senior members of the Association; preserves GBA history and records.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 xml:space="preserve">Holiday Party- </w:t>
      </w:r>
      <w:r w:rsidRPr="00B21F14">
        <w:rPr>
          <w:rFonts w:cs="Arial"/>
          <w:bCs/>
          <w:sz w:val="24"/>
        </w:rPr>
        <w:t xml:space="preserve">Decides on </w:t>
      </w:r>
      <w:r>
        <w:rPr>
          <w:rFonts w:cs="Arial"/>
          <w:bCs/>
          <w:sz w:val="24"/>
        </w:rPr>
        <w:t xml:space="preserve">location, </w:t>
      </w:r>
      <w:r w:rsidRPr="00B21F14">
        <w:rPr>
          <w:rFonts w:cs="Arial"/>
          <w:bCs/>
          <w:sz w:val="24"/>
        </w:rPr>
        <w:t>plans menus, prizes and entertainment for the annual holiday party.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 xml:space="preserve">Membership- </w:t>
      </w:r>
      <w:r w:rsidRPr="00B21F14">
        <w:rPr>
          <w:rFonts w:cs="Arial"/>
          <w:bCs/>
          <w:sz w:val="24"/>
        </w:rPr>
        <w:t xml:space="preserve">Recruits, retains, and engages members; focuses on participation by young lawyers; </w:t>
      </w:r>
      <w:bookmarkStart w:id="0" w:name="_GoBack"/>
      <w:bookmarkEnd w:id="0"/>
      <w:r>
        <w:rPr>
          <w:rFonts w:cs="Arial"/>
          <w:bCs/>
          <w:sz w:val="24"/>
        </w:rPr>
        <w:t>encourages</w:t>
      </w:r>
      <w:r w:rsidRPr="00B21F14">
        <w:rPr>
          <w:rFonts w:cs="Arial"/>
          <w:bCs/>
          <w:sz w:val="24"/>
        </w:rPr>
        <w:t xml:space="preserve"> participation in the online membership directory.</w:t>
      </w:r>
    </w:p>
    <w:p w:rsidR="00E00CF7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>Memorials-</w:t>
      </w:r>
      <w:r>
        <w:rPr>
          <w:rFonts w:cs="Arial"/>
          <w:b/>
          <w:bCs/>
          <w:sz w:val="24"/>
        </w:rPr>
        <w:t xml:space="preserve"> </w:t>
      </w:r>
      <w:r w:rsidRPr="00B21F14">
        <w:rPr>
          <w:rFonts w:cs="Arial"/>
          <w:bCs/>
          <w:sz w:val="24"/>
        </w:rPr>
        <w:t>Monitors newspaper obituaries and contacts members regarding deceased members; publishes memorials in newsletter; maintains archives.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Mentoring-</w:t>
      </w:r>
      <w:r>
        <w:rPr>
          <w:rFonts w:cs="Arial"/>
          <w:bCs/>
          <w:sz w:val="24"/>
        </w:rPr>
        <w:t xml:space="preserve"> Plans networking events and activities that pair newly licensed and veteran attorneys.</w:t>
      </w:r>
    </w:p>
    <w:p w:rsidR="00E00CF7" w:rsidRPr="00B21F14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 w:rsidRPr="00B21F14">
        <w:rPr>
          <w:rFonts w:cs="Arial"/>
          <w:b/>
          <w:bCs/>
          <w:sz w:val="24"/>
        </w:rPr>
        <w:t>Nominating-</w:t>
      </w:r>
      <w:r>
        <w:rPr>
          <w:rFonts w:cs="Arial"/>
          <w:b/>
          <w:bCs/>
          <w:sz w:val="24"/>
        </w:rPr>
        <w:t xml:space="preserve"> </w:t>
      </w:r>
      <w:r w:rsidRPr="00B21F14">
        <w:rPr>
          <w:rFonts w:cs="Arial"/>
          <w:bCs/>
          <w:sz w:val="24"/>
        </w:rPr>
        <w:t xml:space="preserve">Presents a slate of candidates for new officers </w:t>
      </w:r>
      <w:r>
        <w:rPr>
          <w:rFonts w:cs="Arial"/>
          <w:bCs/>
          <w:sz w:val="24"/>
        </w:rPr>
        <w:t>and</w:t>
      </w:r>
      <w:r w:rsidRPr="00B21F14">
        <w:rPr>
          <w:rFonts w:cs="Arial"/>
          <w:bCs/>
          <w:sz w:val="24"/>
        </w:rPr>
        <w:t xml:space="preserve"> directors for the upcoming year, to be presented to the Executive Committee in March, published in the newsletter, an</w:t>
      </w:r>
      <w:r>
        <w:rPr>
          <w:rFonts w:cs="Arial"/>
          <w:bCs/>
          <w:sz w:val="24"/>
        </w:rPr>
        <w:t xml:space="preserve">d voted on at the April </w:t>
      </w:r>
      <w:r>
        <w:rPr>
          <w:rFonts w:cs="Arial"/>
          <w:bCs/>
          <w:sz w:val="24"/>
        </w:rPr>
        <w:t xml:space="preserve">Joint </w:t>
      </w:r>
      <w:r>
        <w:rPr>
          <w:rFonts w:cs="Arial"/>
          <w:bCs/>
          <w:sz w:val="24"/>
        </w:rPr>
        <w:t>Annual</w:t>
      </w:r>
      <w:r w:rsidRPr="00B21F14">
        <w:rPr>
          <w:rFonts w:cs="Arial"/>
          <w:bCs/>
          <w:sz w:val="24"/>
        </w:rPr>
        <w:t xml:space="preserve"> Meeting</w:t>
      </w:r>
      <w:r>
        <w:rPr>
          <w:rFonts w:cs="Arial"/>
          <w:bCs/>
          <w:sz w:val="24"/>
        </w:rPr>
        <w:t>.</w:t>
      </w:r>
    </w:p>
    <w:p w:rsidR="00E00CF7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Pro Bono</w:t>
      </w:r>
      <w:r w:rsidRPr="00B21F14">
        <w:rPr>
          <w:rFonts w:cs="Arial"/>
          <w:b/>
          <w:bCs/>
          <w:sz w:val="24"/>
        </w:rPr>
        <w:t xml:space="preserve">- </w:t>
      </w:r>
      <w:r w:rsidRPr="00B21F14">
        <w:rPr>
          <w:sz w:val="24"/>
        </w:rPr>
        <w:t>Publicizes pro bono opportunities to the membership</w:t>
      </w:r>
      <w:r>
        <w:rPr>
          <w:sz w:val="24"/>
        </w:rPr>
        <w:t>;</w:t>
      </w:r>
      <w:r w:rsidRPr="00B21F14">
        <w:rPr>
          <w:sz w:val="24"/>
        </w:rPr>
        <w:t xml:space="preserve"> </w:t>
      </w:r>
      <w:r w:rsidRPr="00B21F14">
        <w:rPr>
          <w:rFonts w:cs="Arial"/>
          <w:bCs/>
          <w:sz w:val="24"/>
        </w:rPr>
        <w:t>recognizes Herb Falk Society</w:t>
      </w:r>
      <w:r>
        <w:rPr>
          <w:rFonts w:cs="Arial"/>
          <w:bCs/>
          <w:sz w:val="24"/>
        </w:rPr>
        <w:t xml:space="preserve"> inductees;</w:t>
      </w:r>
      <w:r w:rsidRPr="00B21F14">
        <w:rPr>
          <w:rFonts w:cs="Arial"/>
          <w:bCs/>
          <w:sz w:val="24"/>
        </w:rPr>
        <w:t xml:space="preserve"> provides Second Chanc</w:t>
      </w:r>
      <w:r>
        <w:rPr>
          <w:rFonts w:cs="Arial"/>
          <w:bCs/>
          <w:sz w:val="24"/>
        </w:rPr>
        <w:t>e Project expunction trainings;</w:t>
      </w:r>
      <w:r w:rsidRPr="00B21F14">
        <w:rPr>
          <w:rFonts w:cs="Arial"/>
          <w:bCs/>
          <w:sz w:val="24"/>
        </w:rPr>
        <w:t xml:space="preserve"> works with Legal Aid on pro bono projects.</w:t>
      </w:r>
    </w:p>
    <w:p w:rsidR="00EB5757" w:rsidRPr="00E00CF7" w:rsidRDefault="00E00CF7" w:rsidP="00E00CF7">
      <w:pPr>
        <w:numPr>
          <w:ilvl w:val="0"/>
          <w:numId w:val="1"/>
        </w:numPr>
        <w:spacing w:after="240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>Scholarship-</w:t>
      </w: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color w:val="202124"/>
          <w:sz w:val="24"/>
          <w:shd w:val="clear" w:color="auto" w:fill="FFFFFF"/>
        </w:rPr>
        <w:t>O</w:t>
      </w:r>
      <w:r w:rsidRPr="00671550">
        <w:rPr>
          <w:rFonts w:cs="Arial"/>
          <w:bCs/>
          <w:color w:val="202124"/>
          <w:sz w:val="24"/>
          <w:shd w:val="clear" w:color="auto" w:fill="FFFFFF"/>
        </w:rPr>
        <w:t>versee</w:t>
      </w:r>
      <w:r>
        <w:rPr>
          <w:rFonts w:cs="Arial"/>
          <w:bCs/>
          <w:color w:val="202124"/>
          <w:sz w:val="24"/>
          <w:shd w:val="clear" w:color="auto" w:fill="FFFFFF"/>
        </w:rPr>
        <w:t>s</w:t>
      </w:r>
      <w:r w:rsidRPr="00671550">
        <w:rPr>
          <w:rFonts w:cs="Arial"/>
          <w:bCs/>
          <w:color w:val="202124"/>
          <w:sz w:val="24"/>
          <w:shd w:val="clear" w:color="auto" w:fill="FFFFFF"/>
        </w:rPr>
        <w:t xml:space="preserve"> the annual scholarship and ensure</w:t>
      </w:r>
      <w:r>
        <w:rPr>
          <w:rFonts w:cs="Arial"/>
          <w:bCs/>
          <w:color w:val="202124"/>
          <w:sz w:val="24"/>
          <w:shd w:val="clear" w:color="auto" w:fill="FFFFFF"/>
        </w:rPr>
        <w:t>s</w:t>
      </w:r>
      <w:r w:rsidRPr="00671550">
        <w:rPr>
          <w:rFonts w:cs="Arial"/>
          <w:bCs/>
          <w:color w:val="202124"/>
          <w:sz w:val="24"/>
          <w:shd w:val="clear" w:color="auto" w:fill="FFFFFF"/>
        </w:rPr>
        <w:t xml:space="preserve"> the timely and fair disposition of scholarship fu</w:t>
      </w:r>
      <w:r>
        <w:rPr>
          <w:rFonts w:cs="Arial"/>
          <w:bCs/>
          <w:color w:val="202124"/>
          <w:sz w:val="24"/>
          <w:shd w:val="clear" w:color="auto" w:fill="FFFFFF"/>
        </w:rPr>
        <w:t>s.</w:t>
      </w:r>
    </w:p>
    <w:sectPr w:rsidR="00EB5757" w:rsidRPr="00E00CF7" w:rsidSect="00E00CF7">
      <w:pgSz w:w="12240" w:h="15840"/>
      <w:pgMar w:top="72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7606"/>
    <w:multiLevelType w:val="hybridMultilevel"/>
    <w:tmpl w:val="571EA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F7"/>
    <w:rsid w:val="00064B79"/>
    <w:rsid w:val="00472914"/>
    <w:rsid w:val="004A3A2E"/>
    <w:rsid w:val="00671760"/>
    <w:rsid w:val="007D7565"/>
    <w:rsid w:val="00983147"/>
    <w:rsid w:val="00B52F8F"/>
    <w:rsid w:val="00BC4218"/>
    <w:rsid w:val="00BD3990"/>
    <w:rsid w:val="00C37A22"/>
    <w:rsid w:val="00E00CF7"/>
    <w:rsid w:val="00E24EEE"/>
    <w:rsid w:val="00E35995"/>
    <w:rsid w:val="00E57497"/>
    <w:rsid w:val="00E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E9B"/>
  <w15:chartTrackingRefBased/>
  <w15:docId w15:val="{BE11331C-8B56-4E72-9CAF-FD2EE668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F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00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greensborobar.org/wp-content/uploads/2013/04/GBALogo2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reensborobar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Lowe</dc:creator>
  <cp:keywords/>
  <dc:description/>
  <cp:lastModifiedBy>Diane Lowe</cp:lastModifiedBy>
  <cp:revision>1</cp:revision>
  <dcterms:created xsi:type="dcterms:W3CDTF">2021-09-14T02:00:00Z</dcterms:created>
  <dcterms:modified xsi:type="dcterms:W3CDTF">2021-09-14T02:09:00Z</dcterms:modified>
</cp:coreProperties>
</file>